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910" w:rsidRDefault="005A1910" w:rsidP="005A1910">
      <w:pPr>
        <w:pStyle w:val="Heading1"/>
        <w:spacing w:before="76"/>
        <w:ind w:left="4204" w:right="3311" w:hanging="855"/>
      </w:pPr>
      <w:r>
        <w:t>MassHealth 1115 Demonstration Attachment N</w:t>
      </w:r>
    </w:p>
    <w:p w:rsidR="005A1910" w:rsidRDefault="005A1910" w:rsidP="005A1910">
      <w:pPr>
        <w:ind w:left="2113"/>
        <w:rPr>
          <w:b/>
          <w:sz w:val="24"/>
        </w:rPr>
      </w:pPr>
      <w:r>
        <w:rPr>
          <w:b/>
          <w:sz w:val="24"/>
        </w:rPr>
        <w:t>Safety Net Provider Payment Eligibility and Allocation</w:t>
      </w:r>
    </w:p>
    <w:p w:rsidR="005A1910" w:rsidRDefault="005A1910" w:rsidP="005A1910">
      <w:pPr>
        <w:pStyle w:val="BodyText"/>
        <w:rPr>
          <w:b/>
          <w:sz w:val="26"/>
        </w:rPr>
      </w:pPr>
    </w:p>
    <w:p w:rsidR="005A1910" w:rsidRDefault="005A1910" w:rsidP="005A1910">
      <w:pPr>
        <w:pStyle w:val="BodyText"/>
        <w:rPr>
          <w:b/>
          <w:sz w:val="22"/>
        </w:rPr>
      </w:pPr>
    </w:p>
    <w:p w:rsidR="005A1910" w:rsidRDefault="005A1910" w:rsidP="005A1910">
      <w:pPr>
        <w:pStyle w:val="BodyText"/>
        <w:ind w:left="119" w:right="296"/>
      </w:pPr>
      <w:r>
        <w:t>Hospitals that meet the eligibility criteria to receive a Safety Net Provider Payment pursuant to STC 53 and their corresponding payments are listed in Table 1 below.</w:t>
      </w:r>
    </w:p>
    <w:p w:rsidR="005A1910" w:rsidRDefault="005A1910" w:rsidP="005A1910">
      <w:pPr>
        <w:pStyle w:val="BodyText"/>
        <w:spacing w:before="10"/>
        <w:rPr>
          <w:sz w:val="23"/>
        </w:rPr>
      </w:pPr>
    </w:p>
    <w:p w:rsidR="005A1910" w:rsidRDefault="005A1910" w:rsidP="005A1910">
      <w:pPr>
        <w:pStyle w:val="BodyText"/>
        <w:ind w:left="119"/>
      </w:pPr>
      <w:r>
        <w:rPr>
          <w:u w:val="single"/>
        </w:rPr>
        <w:t>Safety Net Provider Payment allocation methodology</w:t>
      </w:r>
      <w:r>
        <w:t>:</w:t>
      </w:r>
    </w:p>
    <w:p w:rsidR="005A1910" w:rsidRDefault="005A1910" w:rsidP="005A1910">
      <w:pPr>
        <w:pStyle w:val="BodyText"/>
        <w:spacing w:before="1"/>
        <w:rPr>
          <w:sz w:val="16"/>
        </w:rPr>
      </w:pPr>
    </w:p>
    <w:p w:rsidR="005A1910" w:rsidRDefault="005A1910" w:rsidP="005A1910">
      <w:pPr>
        <w:pStyle w:val="BodyText"/>
        <w:spacing w:before="90"/>
        <w:ind w:left="119" w:right="109"/>
      </w:pPr>
      <w:r>
        <w:t>Hospitals that are eligible to receive Safety Net Provider Payments must demonstrate an uncompensated care shortfall on their 2014 UCCR or 403 cost reports (if UCCR is unavailable) based on their Medicaid and Uninsured payments and costs. Further detail related to hospital eligibility for Safety Net Provider Payments can be found in STC 53.</w:t>
      </w:r>
    </w:p>
    <w:p w:rsidR="005A1910" w:rsidRDefault="005A1910" w:rsidP="005A1910">
      <w:pPr>
        <w:pStyle w:val="BodyText"/>
        <w:spacing w:before="11"/>
        <w:rPr>
          <w:sz w:val="23"/>
        </w:rPr>
      </w:pPr>
    </w:p>
    <w:p w:rsidR="005A1910" w:rsidRDefault="005A1910" w:rsidP="005A1910">
      <w:pPr>
        <w:pStyle w:val="BodyText"/>
        <w:ind w:left="119"/>
      </w:pPr>
      <w:r>
        <w:t>Eligible hospitals are split into two groups based on these criteria:</w:t>
      </w:r>
    </w:p>
    <w:p w:rsidR="005A1910" w:rsidRDefault="005A1910" w:rsidP="005A1910">
      <w:pPr>
        <w:pStyle w:val="BodyText"/>
        <w:spacing w:before="11"/>
        <w:rPr>
          <w:sz w:val="23"/>
        </w:rPr>
      </w:pPr>
    </w:p>
    <w:p w:rsidR="005A1910" w:rsidRDefault="005A1910" w:rsidP="005A1910">
      <w:pPr>
        <w:pStyle w:val="BodyText"/>
        <w:ind w:left="119" w:right="636"/>
      </w:pPr>
      <w:r>
        <w:rPr>
          <w:b/>
          <w:i/>
        </w:rPr>
        <w:t>Group 1</w:t>
      </w:r>
      <w:r>
        <w:t>: Group 1 includes any hospital that received Delivery System Transformation Initiative (DSTI) payments in the SFY 2015-2017 demonstration period.</w:t>
      </w:r>
    </w:p>
    <w:p w:rsidR="005A1910" w:rsidRDefault="005A1910" w:rsidP="005A1910">
      <w:pPr>
        <w:pStyle w:val="BodyText"/>
        <w:spacing w:before="8"/>
        <w:rPr>
          <w:sz w:val="23"/>
        </w:rPr>
      </w:pPr>
    </w:p>
    <w:p w:rsidR="005A1910" w:rsidRDefault="005A1910" w:rsidP="005A1910">
      <w:pPr>
        <w:pStyle w:val="BodyText"/>
        <w:spacing w:before="1"/>
        <w:ind w:left="119" w:right="95"/>
      </w:pPr>
      <w:r>
        <w:rPr>
          <w:b/>
          <w:i/>
        </w:rPr>
        <w:t>Group 2</w:t>
      </w:r>
      <w:r>
        <w:t>: Group 2 includes any eligible hospital that did not receive DSTI payments in the SFY 2015- 2017 demonstration period.</w:t>
      </w:r>
    </w:p>
    <w:p w:rsidR="005A1910" w:rsidRDefault="005A1910" w:rsidP="005A1910">
      <w:pPr>
        <w:pStyle w:val="BodyText"/>
        <w:rPr>
          <w:sz w:val="26"/>
        </w:rPr>
      </w:pPr>
    </w:p>
    <w:p w:rsidR="005A1910" w:rsidRDefault="005A1910" w:rsidP="005A1910">
      <w:pPr>
        <w:pStyle w:val="BodyText"/>
        <w:rPr>
          <w:sz w:val="22"/>
        </w:rPr>
      </w:pPr>
    </w:p>
    <w:p w:rsidR="005A1910" w:rsidRDefault="005A1910" w:rsidP="005A1910">
      <w:pPr>
        <w:pStyle w:val="BodyText"/>
        <w:ind w:left="119"/>
      </w:pPr>
      <w:r>
        <w:t>SFY 2022 payments are determined as follows:</w:t>
      </w:r>
    </w:p>
    <w:p w:rsidR="005A1910" w:rsidRDefault="005A1910" w:rsidP="005A1910">
      <w:pPr>
        <w:pStyle w:val="BodyText"/>
        <w:spacing w:before="6"/>
      </w:pPr>
    </w:p>
    <w:p w:rsidR="005A1910" w:rsidRDefault="005A1910" w:rsidP="005A1910">
      <w:pPr>
        <w:pStyle w:val="ListParagraph"/>
        <w:numPr>
          <w:ilvl w:val="1"/>
          <w:numId w:val="1"/>
        </w:numPr>
        <w:tabs>
          <w:tab w:val="left" w:pos="839"/>
          <w:tab w:val="left" w:pos="840"/>
        </w:tabs>
        <w:spacing w:line="293" w:lineRule="exact"/>
        <w:rPr>
          <w:sz w:val="24"/>
        </w:rPr>
      </w:pPr>
      <w:r>
        <w:rPr>
          <w:sz w:val="24"/>
        </w:rPr>
        <w:t>Group 1 hospitals will receive payments equal to 72% of the payments received in SFY</w:t>
      </w:r>
      <w:r>
        <w:rPr>
          <w:spacing w:val="-21"/>
          <w:sz w:val="24"/>
        </w:rPr>
        <w:t xml:space="preserve"> </w:t>
      </w:r>
      <w:r>
        <w:rPr>
          <w:sz w:val="24"/>
        </w:rPr>
        <w:t>2017.</w:t>
      </w:r>
    </w:p>
    <w:p w:rsidR="005A1910" w:rsidRDefault="005A1910" w:rsidP="005A1910">
      <w:pPr>
        <w:pStyle w:val="ListParagraph"/>
        <w:numPr>
          <w:ilvl w:val="1"/>
          <w:numId w:val="1"/>
        </w:numPr>
        <w:tabs>
          <w:tab w:val="left" w:pos="840"/>
        </w:tabs>
        <w:spacing w:before="1" w:line="237" w:lineRule="auto"/>
        <w:ind w:right="243"/>
        <w:jc w:val="both"/>
        <w:rPr>
          <w:sz w:val="24"/>
        </w:rPr>
      </w:pPr>
      <w:r>
        <w:rPr>
          <w:sz w:val="24"/>
        </w:rPr>
        <w:t>Group 2 hospitals will receive a share of remaining available funding for Safety Net</w:t>
      </w:r>
      <w:r>
        <w:rPr>
          <w:spacing w:val="-25"/>
          <w:sz w:val="24"/>
        </w:rPr>
        <w:t xml:space="preserve"> </w:t>
      </w:r>
      <w:r>
        <w:rPr>
          <w:sz w:val="24"/>
        </w:rPr>
        <w:t>Provider Payments based on each hospital’s relative Medicaid Gross Patient Service Revenue (GPSR) reported in the latest available hospital cost report as of August</w:t>
      </w:r>
      <w:r>
        <w:rPr>
          <w:spacing w:val="-15"/>
          <w:sz w:val="24"/>
        </w:rPr>
        <w:t xml:space="preserve"> </w:t>
      </w:r>
      <w:r>
        <w:rPr>
          <w:sz w:val="24"/>
        </w:rPr>
        <w:t>2016.</w:t>
      </w:r>
    </w:p>
    <w:p w:rsidR="005A1910" w:rsidRDefault="005A1910" w:rsidP="005A1910">
      <w:pPr>
        <w:pStyle w:val="BodyText"/>
        <w:spacing w:before="5"/>
      </w:pPr>
    </w:p>
    <w:p w:rsidR="005A1910" w:rsidRDefault="005A1910" w:rsidP="005A1910">
      <w:pPr>
        <w:pStyle w:val="BodyText"/>
        <w:ind w:left="119" w:right="165"/>
        <w:jc w:val="both"/>
      </w:pPr>
      <w:r>
        <w:t>Note that the initial allocation of DSTI payments among the eligible hospitals for the SFY 2012-2014 and SFY 2015-2017 demonstration periods was similarly determined based on relative Medicaid and Low Income Public Payer GPSR.</w:t>
      </w:r>
    </w:p>
    <w:p w:rsidR="005A1910" w:rsidRDefault="005A1910" w:rsidP="005A1910">
      <w:pPr>
        <w:pStyle w:val="BodyText"/>
        <w:spacing w:before="11"/>
        <w:rPr>
          <w:sz w:val="23"/>
        </w:rPr>
      </w:pPr>
    </w:p>
    <w:p w:rsidR="005A1910" w:rsidRDefault="005A1910" w:rsidP="005A1910">
      <w:pPr>
        <w:pStyle w:val="BodyText"/>
        <w:ind w:left="119" w:right="109"/>
      </w:pPr>
      <w:r>
        <w:t>An increasing portion of these payments are at risk for each individual hospital in each year of the demonstration extension period, subject to accountability and performance requirements as specified in STC 53. As such, provider payment amounts are classified as “potential payments” as reflected in Table 1 below</w:t>
      </w:r>
    </w:p>
    <w:p w:rsidR="005A1910" w:rsidRDefault="005A1910" w:rsidP="005A1910">
      <w:pPr>
        <w:sectPr w:rsidR="005A1910">
          <w:footerReference w:type="default" r:id="rId5"/>
          <w:pgSz w:w="12240" w:h="15840"/>
          <w:pgMar w:top="1300" w:right="1280" w:bottom="220" w:left="920" w:header="0" w:footer="28" w:gutter="0"/>
          <w:pgNumType w:start="1"/>
          <w:cols w:space="720"/>
        </w:sectPr>
      </w:pPr>
    </w:p>
    <w:p w:rsidR="005A1910" w:rsidRDefault="005A1910" w:rsidP="005A1910">
      <w:pPr>
        <w:pStyle w:val="Heading1"/>
        <w:spacing w:before="152"/>
        <w:ind w:left="119"/>
      </w:pPr>
      <w:r>
        <w:lastRenderedPageBreak/>
        <w:t>Table 1. Safety Net Provider Potential Payments by Eligible Hospital Provider</w:t>
      </w:r>
    </w:p>
    <w:p w:rsidR="005A1910" w:rsidRDefault="005A1910" w:rsidP="005A1910">
      <w:pPr>
        <w:pStyle w:val="BodyText"/>
        <w:spacing w:before="2"/>
        <w:rPr>
          <w:b/>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44"/>
        <w:gridCol w:w="1296"/>
        <w:gridCol w:w="1296"/>
        <w:gridCol w:w="1296"/>
        <w:gridCol w:w="1296"/>
        <w:gridCol w:w="1296"/>
      </w:tblGrid>
      <w:tr w:rsidR="005A1910" w:rsidTr="003E2CED">
        <w:trPr>
          <w:trHeight w:hRule="exact" w:val="562"/>
        </w:trPr>
        <w:tc>
          <w:tcPr>
            <w:tcW w:w="3144" w:type="dxa"/>
          </w:tcPr>
          <w:p w:rsidR="005A1910" w:rsidRDefault="005A1910" w:rsidP="003E2CED">
            <w:pPr>
              <w:pStyle w:val="TableParagraph"/>
              <w:spacing w:line="273" w:lineRule="exact"/>
              <w:ind w:left="650"/>
              <w:rPr>
                <w:b/>
                <w:sz w:val="24"/>
              </w:rPr>
            </w:pPr>
            <w:r>
              <w:rPr>
                <w:b/>
                <w:sz w:val="24"/>
              </w:rPr>
              <w:t>Hospital Provider</w:t>
            </w:r>
          </w:p>
        </w:tc>
        <w:tc>
          <w:tcPr>
            <w:tcW w:w="1296" w:type="dxa"/>
          </w:tcPr>
          <w:p w:rsidR="005A1910" w:rsidRDefault="005A1910" w:rsidP="003E2CED">
            <w:pPr>
              <w:pStyle w:val="TableParagraph"/>
              <w:ind w:left="388" w:right="279" w:hanging="92"/>
              <w:rPr>
                <w:b/>
                <w:sz w:val="24"/>
              </w:rPr>
            </w:pPr>
            <w:r>
              <w:rPr>
                <w:b/>
                <w:w w:val="95"/>
                <w:sz w:val="24"/>
              </w:rPr>
              <w:t xml:space="preserve">SFY18 </w:t>
            </w:r>
            <w:r>
              <w:rPr>
                <w:b/>
                <w:sz w:val="24"/>
              </w:rPr>
              <w:t>($M)</w:t>
            </w:r>
          </w:p>
        </w:tc>
        <w:tc>
          <w:tcPr>
            <w:tcW w:w="1296" w:type="dxa"/>
          </w:tcPr>
          <w:p w:rsidR="005A1910" w:rsidRDefault="005A1910" w:rsidP="003E2CED">
            <w:pPr>
              <w:pStyle w:val="TableParagraph"/>
              <w:ind w:left="388" w:right="279" w:hanging="94"/>
              <w:rPr>
                <w:b/>
                <w:sz w:val="24"/>
              </w:rPr>
            </w:pPr>
            <w:r>
              <w:rPr>
                <w:b/>
                <w:sz w:val="24"/>
              </w:rPr>
              <w:t>SFY19 ($M)</w:t>
            </w:r>
          </w:p>
        </w:tc>
        <w:tc>
          <w:tcPr>
            <w:tcW w:w="1296" w:type="dxa"/>
          </w:tcPr>
          <w:p w:rsidR="005A1910" w:rsidRDefault="005A1910" w:rsidP="003E2CED">
            <w:pPr>
              <w:pStyle w:val="TableParagraph"/>
              <w:ind w:left="388" w:right="279" w:hanging="94"/>
              <w:rPr>
                <w:b/>
                <w:sz w:val="24"/>
              </w:rPr>
            </w:pPr>
            <w:r>
              <w:rPr>
                <w:b/>
                <w:sz w:val="24"/>
              </w:rPr>
              <w:t>SFY20 ($M)</w:t>
            </w:r>
          </w:p>
        </w:tc>
        <w:tc>
          <w:tcPr>
            <w:tcW w:w="1296" w:type="dxa"/>
          </w:tcPr>
          <w:p w:rsidR="005A1910" w:rsidRDefault="005A1910" w:rsidP="003E2CED">
            <w:pPr>
              <w:pStyle w:val="TableParagraph"/>
              <w:ind w:left="388" w:right="279" w:hanging="94"/>
              <w:rPr>
                <w:b/>
                <w:sz w:val="24"/>
              </w:rPr>
            </w:pPr>
            <w:r>
              <w:rPr>
                <w:b/>
                <w:sz w:val="24"/>
              </w:rPr>
              <w:t>SFY21 ($M)</w:t>
            </w:r>
          </w:p>
        </w:tc>
        <w:tc>
          <w:tcPr>
            <w:tcW w:w="1296" w:type="dxa"/>
          </w:tcPr>
          <w:p w:rsidR="005A1910" w:rsidRDefault="005A1910" w:rsidP="003E2CED">
            <w:pPr>
              <w:pStyle w:val="TableParagraph"/>
              <w:ind w:left="388" w:right="279" w:hanging="94"/>
              <w:rPr>
                <w:b/>
                <w:sz w:val="24"/>
              </w:rPr>
            </w:pPr>
            <w:r>
              <w:rPr>
                <w:b/>
                <w:sz w:val="24"/>
              </w:rPr>
              <w:t>SFY22 ($M)</w:t>
            </w:r>
          </w:p>
        </w:tc>
      </w:tr>
      <w:tr w:rsidR="005A1910" w:rsidTr="003E2CED">
        <w:trPr>
          <w:trHeight w:hRule="exact" w:val="286"/>
        </w:trPr>
        <w:tc>
          <w:tcPr>
            <w:tcW w:w="9624" w:type="dxa"/>
            <w:gridSpan w:val="6"/>
          </w:tcPr>
          <w:p w:rsidR="005A1910" w:rsidRDefault="005A1910" w:rsidP="003E2CED">
            <w:pPr>
              <w:pStyle w:val="TableParagraph"/>
              <w:spacing w:line="273" w:lineRule="exact"/>
              <w:ind w:left="103"/>
              <w:rPr>
                <w:b/>
                <w:sz w:val="24"/>
              </w:rPr>
            </w:pPr>
            <w:r>
              <w:rPr>
                <w:b/>
                <w:sz w:val="24"/>
              </w:rPr>
              <w:t>Group 1</w:t>
            </w:r>
          </w:p>
        </w:tc>
      </w:tr>
      <w:tr w:rsidR="005A1910" w:rsidTr="003E2CED">
        <w:trPr>
          <w:trHeight w:hRule="exact" w:val="286"/>
        </w:trPr>
        <w:tc>
          <w:tcPr>
            <w:tcW w:w="3144" w:type="dxa"/>
          </w:tcPr>
          <w:p w:rsidR="005A1910" w:rsidRDefault="005A1910" w:rsidP="003E2CED">
            <w:pPr>
              <w:pStyle w:val="TableParagraph"/>
              <w:spacing w:line="268" w:lineRule="exact"/>
              <w:ind w:left="103"/>
              <w:rPr>
                <w:sz w:val="24"/>
              </w:rPr>
            </w:pPr>
            <w:r>
              <w:rPr>
                <w:sz w:val="24"/>
              </w:rPr>
              <w:t>Boston Medical Center*</w:t>
            </w:r>
          </w:p>
        </w:tc>
        <w:tc>
          <w:tcPr>
            <w:tcW w:w="1296" w:type="dxa"/>
          </w:tcPr>
          <w:p w:rsidR="005A1910" w:rsidRDefault="005A1910" w:rsidP="003E2CED">
            <w:pPr>
              <w:pStyle w:val="TableParagraph"/>
              <w:spacing w:line="268" w:lineRule="exact"/>
              <w:ind w:right="101"/>
              <w:jc w:val="right"/>
              <w:rPr>
                <w:sz w:val="24"/>
              </w:rPr>
            </w:pPr>
            <w:r>
              <w:rPr>
                <w:sz w:val="24"/>
              </w:rPr>
              <w:t>$107.70</w:t>
            </w:r>
          </w:p>
        </w:tc>
        <w:tc>
          <w:tcPr>
            <w:tcW w:w="1296" w:type="dxa"/>
          </w:tcPr>
          <w:p w:rsidR="005A1910" w:rsidRDefault="005A1910" w:rsidP="003E2CED">
            <w:pPr>
              <w:pStyle w:val="TableParagraph"/>
              <w:spacing w:line="268" w:lineRule="exact"/>
              <w:ind w:right="101"/>
              <w:jc w:val="right"/>
              <w:rPr>
                <w:sz w:val="24"/>
              </w:rPr>
            </w:pPr>
            <w:r>
              <w:rPr>
                <w:sz w:val="24"/>
              </w:rPr>
              <w:t>$106.30</w:t>
            </w:r>
          </w:p>
        </w:tc>
        <w:tc>
          <w:tcPr>
            <w:tcW w:w="1296" w:type="dxa"/>
          </w:tcPr>
          <w:p w:rsidR="005A1910" w:rsidRDefault="005A1910" w:rsidP="003E2CED">
            <w:pPr>
              <w:pStyle w:val="TableParagraph"/>
              <w:spacing w:line="268" w:lineRule="exact"/>
              <w:ind w:right="101"/>
              <w:jc w:val="right"/>
              <w:rPr>
                <w:sz w:val="24"/>
              </w:rPr>
            </w:pPr>
            <w:r>
              <w:rPr>
                <w:sz w:val="24"/>
              </w:rPr>
              <w:t>$106.30</w:t>
            </w:r>
          </w:p>
        </w:tc>
        <w:tc>
          <w:tcPr>
            <w:tcW w:w="1296" w:type="dxa"/>
          </w:tcPr>
          <w:p w:rsidR="005A1910" w:rsidRDefault="005A1910" w:rsidP="003E2CED">
            <w:pPr>
              <w:pStyle w:val="TableParagraph"/>
              <w:spacing w:line="268" w:lineRule="exact"/>
              <w:ind w:right="101"/>
              <w:jc w:val="right"/>
              <w:rPr>
                <w:sz w:val="24"/>
              </w:rPr>
            </w:pPr>
            <w:r>
              <w:rPr>
                <w:sz w:val="24"/>
              </w:rPr>
              <w:t>$106.30</w:t>
            </w:r>
          </w:p>
        </w:tc>
        <w:tc>
          <w:tcPr>
            <w:tcW w:w="1296" w:type="dxa"/>
          </w:tcPr>
          <w:p w:rsidR="005A1910" w:rsidRDefault="005A1910" w:rsidP="003E2CED">
            <w:pPr>
              <w:pStyle w:val="TableParagraph"/>
              <w:spacing w:line="268" w:lineRule="exact"/>
              <w:ind w:right="101"/>
              <w:jc w:val="right"/>
              <w:rPr>
                <w:sz w:val="24"/>
              </w:rPr>
            </w:pPr>
            <w:r>
              <w:rPr>
                <w:sz w:val="24"/>
              </w:rPr>
              <w:t>$105.21</w:t>
            </w:r>
          </w:p>
        </w:tc>
      </w:tr>
      <w:tr w:rsidR="005A1910" w:rsidTr="003E2CED">
        <w:trPr>
          <w:trHeight w:hRule="exact" w:val="288"/>
        </w:trPr>
        <w:tc>
          <w:tcPr>
            <w:tcW w:w="3144" w:type="dxa"/>
          </w:tcPr>
          <w:p w:rsidR="005A1910" w:rsidRDefault="005A1910" w:rsidP="003E2CED">
            <w:pPr>
              <w:pStyle w:val="TableParagraph"/>
              <w:spacing w:line="270" w:lineRule="exact"/>
              <w:ind w:left="103"/>
              <w:rPr>
                <w:sz w:val="24"/>
              </w:rPr>
            </w:pPr>
            <w:r>
              <w:rPr>
                <w:sz w:val="24"/>
              </w:rPr>
              <w:t>Holyoke Medical Center</w:t>
            </w:r>
          </w:p>
        </w:tc>
        <w:tc>
          <w:tcPr>
            <w:tcW w:w="1296" w:type="dxa"/>
          </w:tcPr>
          <w:p w:rsidR="005A1910" w:rsidRDefault="005A1910" w:rsidP="003E2CED">
            <w:pPr>
              <w:pStyle w:val="TableParagraph"/>
              <w:spacing w:line="270" w:lineRule="exact"/>
              <w:ind w:right="101"/>
              <w:jc w:val="right"/>
              <w:rPr>
                <w:sz w:val="24"/>
              </w:rPr>
            </w:pPr>
            <w:r>
              <w:rPr>
                <w:sz w:val="24"/>
              </w:rPr>
              <w:t>$6.49</w:t>
            </w:r>
          </w:p>
        </w:tc>
        <w:tc>
          <w:tcPr>
            <w:tcW w:w="1296" w:type="dxa"/>
          </w:tcPr>
          <w:p w:rsidR="005A1910" w:rsidRDefault="005A1910" w:rsidP="003E2CED">
            <w:pPr>
              <w:pStyle w:val="TableParagraph"/>
              <w:spacing w:line="270" w:lineRule="exact"/>
              <w:ind w:right="101"/>
              <w:jc w:val="right"/>
              <w:rPr>
                <w:sz w:val="24"/>
              </w:rPr>
            </w:pPr>
            <w:r>
              <w:rPr>
                <w:sz w:val="24"/>
              </w:rPr>
              <w:t>$6.49</w:t>
            </w:r>
          </w:p>
        </w:tc>
        <w:tc>
          <w:tcPr>
            <w:tcW w:w="1296" w:type="dxa"/>
          </w:tcPr>
          <w:p w:rsidR="005A1910" w:rsidRDefault="005A1910" w:rsidP="003E2CED">
            <w:pPr>
              <w:pStyle w:val="TableParagraph"/>
              <w:spacing w:line="270" w:lineRule="exact"/>
              <w:ind w:right="101"/>
              <w:jc w:val="right"/>
              <w:rPr>
                <w:sz w:val="24"/>
              </w:rPr>
            </w:pPr>
            <w:r>
              <w:rPr>
                <w:sz w:val="24"/>
              </w:rPr>
              <w:t>$6.49</w:t>
            </w:r>
          </w:p>
        </w:tc>
        <w:tc>
          <w:tcPr>
            <w:tcW w:w="1296" w:type="dxa"/>
          </w:tcPr>
          <w:p w:rsidR="005A1910" w:rsidRDefault="005A1910" w:rsidP="003E2CED">
            <w:pPr>
              <w:pStyle w:val="TableParagraph"/>
              <w:spacing w:line="270" w:lineRule="exact"/>
              <w:ind w:right="101"/>
              <w:jc w:val="right"/>
              <w:rPr>
                <w:sz w:val="24"/>
              </w:rPr>
            </w:pPr>
            <w:r>
              <w:rPr>
                <w:sz w:val="24"/>
              </w:rPr>
              <w:t>$6.49</w:t>
            </w:r>
          </w:p>
        </w:tc>
        <w:tc>
          <w:tcPr>
            <w:tcW w:w="1296" w:type="dxa"/>
          </w:tcPr>
          <w:p w:rsidR="005A1910" w:rsidRDefault="005A1910" w:rsidP="003E2CED">
            <w:pPr>
              <w:pStyle w:val="TableParagraph"/>
              <w:spacing w:line="270" w:lineRule="exact"/>
              <w:ind w:right="101"/>
              <w:jc w:val="right"/>
              <w:rPr>
                <w:sz w:val="24"/>
              </w:rPr>
            </w:pPr>
            <w:r>
              <w:rPr>
                <w:sz w:val="24"/>
              </w:rPr>
              <w:t>$6.49</w:t>
            </w:r>
          </w:p>
        </w:tc>
      </w:tr>
      <w:tr w:rsidR="005A1910" w:rsidTr="003E2CED">
        <w:trPr>
          <w:trHeight w:hRule="exact" w:val="286"/>
        </w:trPr>
        <w:tc>
          <w:tcPr>
            <w:tcW w:w="3144" w:type="dxa"/>
          </w:tcPr>
          <w:p w:rsidR="005A1910" w:rsidRDefault="005A1910" w:rsidP="003E2CED">
            <w:pPr>
              <w:pStyle w:val="TableParagraph"/>
              <w:spacing w:line="268" w:lineRule="exact"/>
              <w:ind w:left="103"/>
              <w:rPr>
                <w:sz w:val="24"/>
              </w:rPr>
            </w:pPr>
            <w:r>
              <w:rPr>
                <w:sz w:val="24"/>
              </w:rPr>
              <w:t>Lawrence General Hospital</w:t>
            </w:r>
          </w:p>
        </w:tc>
        <w:tc>
          <w:tcPr>
            <w:tcW w:w="1296" w:type="dxa"/>
          </w:tcPr>
          <w:p w:rsidR="005A1910" w:rsidRDefault="005A1910" w:rsidP="003E2CED">
            <w:pPr>
              <w:pStyle w:val="TableParagraph"/>
              <w:spacing w:line="268" w:lineRule="exact"/>
              <w:ind w:right="101"/>
              <w:jc w:val="right"/>
              <w:rPr>
                <w:sz w:val="24"/>
              </w:rPr>
            </w:pPr>
            <w:r>
              <w:rPr>
                <w:sz w:val="24"/>
              </w:rPr>
              <w:t>$13.20</w:t>
            </w:r>
          </w:p>
        </w:tc>
        <w:tc>
          <w:tcPr>
            <w:tcW w:w="1296" w:type="dxa"/>
          </w:tcPr>
          <w:p w:rsidR="005A1910" w:rsidRDefault="005A1910" w:rsidP="003E2CED">
            <w:pPr>
              <w:pStyle w:val="TableParagraph"/>
              <w:spacing w:line="268" w:lineRule="exact"/>
              <w:ind w:right="101"/>
              <w:jc w:val="right"/>
              <w:rPr>
                <w:sz w:val="24"/>
              </w:rPr>
            </w:pPr>
            <w:r>
              <w:rPr>
                <w:sz w:val="24"/>
              </w:rPr>
              <w:t>$12.90</w:t>
            </w:r>
          </w:p>
        </w:tc>
        <w:tc>
          <w:tcPr>
            <w:tcW w:w="1296" w:type="dxa"/>
          </w:tcPr>
          <w:p w:rsidR="005A1910" w:rsidRDefault="005A1910" w:rsidP="003E2CED">
            <w:pPr>
              <w:pStyle w:val="TableParagraph"/>
              <w:spacing w:line="268" w:lineRule="exact"/>
              <w:ind w:right="101"/>
              <w:jc w:val="right"/>
              <w:rPr>
                <w:sz w:val="24"/>
              </w:rPr>
            </w:pPr>
            <w:r>
              <w:rPr>
                <w:sz w:val="24"/>
              </w:rPr>
              <w:t>$12.50</w:t>
            </w:r>
          </w:p>
        </w:tc>
        <w:tc>
          <w:tcPr>
            <w:tcW w:w="1296" w:type="dxa"/>
          </w:tcPr>
          <w:p w:rsidR="005A1910" w:rsidRDefault="005A1910" w:rsidP="003E2CED">
            <w:pPr>
              <w:pStyle w:val="TableParagraph"/>
              <w:spacing w:line="268" w:lineRule="exact"/>
              <w:ind w:right="101"/>
              <w:jc w:val="right"/>
              <w:rPr>
                <w:sz w:val="24"/>
              </w:rPr>
            </w:pPr>
            <w:r>
              <w:rPr>
                <w:sz w:val="24"/>
              </w:rPr>
              <w:t>$12.20</w:t>
            </w:r>
          </w:p>
        </w:tc>
        <w:tc>
          <w:tcPr>
            <w:tcW w:w="1296" w:type="dxa"/>
          </w:tcPr>
          <w:p w:rsidR="005A1910" w:rsidRDefault="005A1910" w:rsidP="003E2CED">
            <w:pPr>
              <w:pStyle w:val="TableParagraph"/>
              <w:spacing w:line="268" w:lineRule="exact"/>
              <w:ind w:right="101"/>
              <w:jc w:val="right"/>
              <w:rPr>
                <w:sz w:val="24"/>
              </w:rPr>
            </w:pPr>
            <w:r>
              <w:rPr>
                <w:sz w:val="24"/>
              </w:rPr>
              <w:t>$11.47</w:t>
            </w:r>
          </w:p>
        </w:tc>
      </w:tr>
      <w:tr w:rsidR="005A1910" w:rsidTr="003E2CED">
        <w:trPr>
          <w:trHeight w:hRule="exact" w:val="286"/>
        </w:trPr>
        <w:tc>
          <w:tcPr>
            <w:tcW w:w="3144" w:type="dxa"/>
          </w:tcPr>
          <w:p w:rsidR="005A1910" w:rsidRDefault="005A1910" w:rsidP="003E2CED">
            <w:pPr>
              <w:pStyle w:val="TableParagraph"/>
              <w:spacing w:line="268" w:lineRule="exact"/>
              <w:ind w:left="103"/>
              <w:rPr>
                <w:sz w:val="24"/>
              </w:rPr>
            </w:pPr>
            <w:r>
              <w:rPr>
                <w:sz w:val="24"/>
              </w:rPr>
              <w:t>Mercy Medical Center</w:t>
            </w:r>
          </w:p>
        </w:tc>
        <w:tc>
          <w:tcPr>
            <w:tcW w:w="1296" w:type="dxa"/>
          </w:tcPr>
          <w:p w:rsidR="005A1910" w:rsidRDefault="005A1910" w:rsidP="003E2CED">
            <w:pPr>
              <w:pStyle w:val="TableParagraph"/>
              <w:spacing w:line="268" w:lineRule="exact"/>
              <w:ind w:right="101"/>
              <w:jc w:val="right"/>
              <w:rPr>
                <w:sz w:val="24"/>
              </w:rPr>
            </w:pPr>
            <w:r>
              <w:rPr>
                <w:sz w:val="24"/>
              </w:rPr>
              <w:t>$13.00</w:t>
            </w:r>
          </w:p>
        </w:tc>
        <w:tc>
          <w:tcPr>
            <w:tcW w:w="1296" w:type="dxa"/>
          </w:tcPr>
          <w:p w:rsidR="005A1910" w:rsidRDefault="005A1910" w:rsidP="003E2CED">
            <w:pPr>
              <w:pStyle w:val="TableParagraph"/>
              <w:spacing w:line="268" w:lineRule="exact"/>
              <w:ind w:right="101"/>
              <w:jc w:val="right"/>
              <w:rPr>
                <w:sz w:val="24"/>
              </w:rPr>
            </w:pPr>
            <w:r>
              <w:rPr>
                <w:sz w:val="24"/>
              </w:rPr>
              <w:t>$12.60</w:t>
            </w:r>
          </w:p>
        </w:tc>
        <w:tc>
          <w:tcPr>
            <w:tcW w:w="1296" w:type="dxa"/>
          </w:tcPr>
          <w:p w:rsidR="005A1910" w:rsidRDefault="005A1910" w:rsidP="003E2CED">
            <w:pPr>
              <w:pStyle w:val="TableParagraph"/>
              <w:spacing w:line="268" w:lineRule="exact"/>
              <w:ind w:right="101"/>
              <w:jc w:val="right"/>
              <w:rPr>
                <w:sz w:val="24"/>
              </w:rPr>
            </w:pPr>
            <w:r>
              <w:rPr>
                <w:sz w:val="24"/>
              </w:rPr>
              <w:t>$12.20</w:t>
            </w:r>
          </w:p>
        </w:tc>
        <w:tc>
          <w:tcPr>
            <w:tcW w:w="1296" w:type="dxa"/>
          </w:tcPr>
          <w:p w:rsidR="005A1910" w:rsidRDefault="005A1910" w:rsidP="003E2CED">
            <w:pPr>
              <w:pStyle w:val="TableParagraph"/>
              <w:spacing w:line="268" w:lineRule="exact"/>
              <w:ind w:right="101"/>
              <w:jc w:val="right"/>
              <w:rPr>
                <w:sz w:val="24"/>
              </w:rPr>
            </w:pPr>
            <w:r>
              <w:rPr>
                <w:sz w:val="24"/>
              </w:rPr>
              <w:t>$12.12</w:t>
            </w:r>
          </w:p>
        </w:tc>
        <w:tc>
          <w:tcPr>
            <w:tcW w:w="1296" w:type="dxa"/>
          </w:tcPr>
          <w:p w:rsidR="005A1910" w:rsidRDefault="005A1910" w:rsidP="003E2CED">
            <w:pPr>
              <w:pStyle w:val="TableParagraph"/>
              <w:spacing w:line="268" w:lineRule="exact"/>
              <w:ind w:right="101"/>
              <w:jc w:val="right"/>
              <w:rPr>
                <w:sz w:val="24"/>
              </w:rPr>
            </w:pPr>
            <w:r>
              <w:rPr>
                <w:sz w:val="24"/>
              </w:rPr>
              <w:t>$12.04</w:t>
            </w:r>
          </w:p>
        </w:tc>
      </w:tr>
      <w:tr w:rsidR="005A1910" w:rsidTr="003E2CED">
        <w:trPr>
          <w:trHeight w:hRule="exact" w:val="562"/>
        </w:trPr>
        <w:tc>
          <w:tcPr>
            <w:tcW w:w="3144" w:type="dxa"/>
          </w:tcPr>
          <w:p w:rsidR="005A1910" w:rsidRDefault="005A1910" w:rsidP="003E2CED">
            <w:pPr>
              <w:pStyle w:val="TableParagraph"/>
              <w:ind w:left="103" w:right="992"/>
              <w:rPr>
                <w:sz w:val="24"/>
              </w:rPr>
            </w:pPr>
            <w:r>
              <w:rPr>
                <w:sz w:val="24"/>
              </w:rPr>
              <w:t>Signature Healthcare Brockton Hospital</w:t>
            </w:r>
          </w:p>
        </w:tc>
        <w:tc>
          <w:tcPr>
            <w:tcW w:w="1296" w:type="dxa"/>
          </w:tcPr>
          <w:p w:rsidR="005A1910" w:rsidRDefault="005A1910" w:rsidP="003E2CED">
            <w:pPr>
              <w:pStyle w:val="TableParagraph"/>
              <w:spacing w:before="131"/>
              <w:ind w:right="101"/>
              <w:jc w:val="right"/>
              <w:rPr>
                <w:sz w:val="24"/>
              </w:rPr>
            </w:pPr>
            <w:r>
              <w:rPr>
                <w:sz w:val="24"/>
              </w:rPr>
              <w:t>$14.70</w:t>
            </w:r>
          </w:p>
        </w:tc>
        <w:tc>
          <w:tcPr>
            <w:tcW w:w="1296" w:type="dxa"/>
          </w:tcPr>
          <w:p w:rsidR="005A1910" w:rsidRDefault="005A1910" w:rsidP="003E2CED">
            <w:pPr>
              <w:pStyle w:val="TableParagraph"/>
              <w:spacing w:before="131"/>
              <w:ind w:right="101"/>
              <w:jc w:val="right"/>
              <w:rPr>
                <w:sz w:val="24"/>
              </w:rPr>
            </w:pPr>
            <w:r>
              <w:rPr>
                <w:sz w:val="24"/>
              </w:rPr>
              <w:t>$14.00</w:t>
            </w:r>
          </w:p>
        </w:tc>
        <w:tc>
          <w:tcPr>
            <w:tcW w:w="1296" w:type="dxa"/>
          </w:tcPr>
          <w:p w:rsidR="005A1910" w:rsidRDefault="005A1910" w:rsidP="003E2CED">
            <w:pPr>
              <w:pStyle w:val="TableParagraph"/>
              <w:spacing w:before="131"/>
              <w:ind w:right="101"/>
              <w:jc w:val="right"/>
              <w:rPr>
                <w:sz w:val="24"/>
              </w:rPr>
            </w:pPr>
            <w:r>
              <w:rPr>
                <w:sz w:val="24"/>
              </w:rPr>
              <w:t>$13.50</w:t>
            </w:r>
          </w:p>
        </w:tc>
        <w:tc>
          <w:tcPr>
            <w:tcW w:w="1296" w:type="dxa"/>
          </w:tcPr>
          <w:p w:rsidR="005A1910" w:rsidRDefault="005A1910" w:rsidP="003E2CED">
            <w:pPr>
              <w:pStyle w:val="TableParagraph"/>
              <w:spacing w:before="131"/>
              <w:ind w:right="101"/>
              <w:jc w:val="right"/>
              <w:rPr>
                <w:sz w:val="24"/>
              </w:rPr>
            </w:pPr>
            <w:r>
              <w:rPr>
                <w:sz w:val="24"/>
              </w:rPr>
              <w:t>$13.30</w:t>
            </w:r>
          </w:p>
        </w:tc>
        <w:tc>
          <w:tcPr>
            <w:tcW w:w="1296" w:type="dxa"/>
          </w:tcPr>
          <w:p w:rsidR="005A1910" w:rsidRDefault="005A1910" w:rsidP="003E2CED">
            <w:pPr>
              <w:pStyle w:val="TableParagraph"/>
              <w:spacing w:before="131"/>
              <w:ind w:right="101"/>
              <w:jc w:val="right"/>
              <w:rPr>
                <w:sz w:val="24"/>
              </w:rPr>
            </w:pPr>
            <w:r>
              <w:rPr>
                <w:sz w:val="24"/>
              </w:rPr>
              <w:t>$13.27</w:t>
            </w:r>
          </w:p>
        </w:tc>
      </w:tr>
      <w:tr w:rsidR="005A1910" w:rsidTr="003E2CED">
        <w:trPr>
          <w:trHeight w:hRule="exact" w:val="286"/>
        </w:trPr>
        <w:tc>
          <w:tcPr>
            <w:tcW w:w="3144" w:type="dxa"/>
          </w:tcPr>
          <w:p w:rsidR="005A1910" w:rsidRDefault="005A1910" w:rsidP="003E2CED">
            <w:pPr>
              <w:pStyle w:val="TableParagraph"/>
              <w:spacing w:line="268" w:lineRule="exact"/>
              <w:ind w:left="103"/>
              <w:rPr>
                <w:sz w:val="24"/>
              </w:rPr>
            </w:pPr>
            <w:r>
              <w:rPr>
                <w:sz w:val="24"/>
              </w:rPr>
              <w:t>Steward Carney Hospital</w:t>
            </w:r>
          </w:p>
        </w:tc>
        <w:tc>
          <w:tcPr>
            <w:tcW w:w="1296" w:type="dxa"/>
          </w:tcPr>
          <w:p w:rsidR="005A1910" w:rsidRDefault="005A1910" w:rsidP="003E2CED">
            <w:pPr>
              <w:pStyle w:val="TableParagraph"/>
              <w:spacing w:line="268" w:lineRule="exact"/>
              <w:ind w:right="101"/>
              <w:jc w:val="right"/>
              <w:rPr>
                <w:sz w:val="24"/>
              </w:rPr>
            </w:pPr>
            <w:r>
              <w:rPr>
                <w:sz w:val="24"/>
              </w:rPr>
              <w:t>$5.12</w:t>
            </w:r>
          </w:p>
        </w:tc>
        <w:tc>
          <w:tcPr>
            <w:tcW w:w="1296" w:type="dxa"/>
          </w:tcPr>
          <w:p w:rsidR="005A1910" w:rsidRDefault="005A1910" w:rsidP="003E2CED">
            <w:pPr>
              <w:pStyle w:val="TableParagraph"/>
              <w:spacing w:line="268" w:lineRule="exact"/>
              <w:ind w:right="101"/>
              <w:jc w:val="right"/>
              <w:rPr>
                <w:sz w:val="24"/>
              </w:rPr>
            </w:pPr>
            <w:r>
              <w:rPr>
                <w:sz w:val="24"/>
              </w:rPr>
              <w:t>$5.12</w:t>
            </w:r>
          </w:p>
        </w:tc>
        <w:tc>
          <w:tcPr>
            <w:tcW w:w="1296" w:type="dxa"/>
          </w:tcPr>
          <w:p w:rsidR="005A1910" w:rsidRDefault="005A1910" w:rsidP="003E2CED">
            <w:pPr>
              <w:pStyle w:val="TableParagraph"/>
              <w:spacing w:line="268" w:lineRule="exact"/>
              <w:ind w:right="101"/>
              <w:jc w:val="right"/>
              <w:rPr>
                <w:sz w:val="24"/>
              </w:rPr>
            </w:pPr>
            <w:r>
              <w:rPr>
                <w:sz w:val="24"/>
              </w:rPr>
              <w:t>$5.12</w:t>
            </w:r>
          </w:p>
        </w:tc>
        <w:tc>
          <w:tcPr>
            <w:tcW w:w="1296" w:type="dxa"/>
          </w:tcPr>
          <w:p w:rsidR="005A1910" w:rsidRDefault="005A1910" w:rsidP="003E2CED">
            <w:pPr>
              <w:pStyle w:val="TableParagraph"/>
              <w:spacing w:line="268" w:lineRule="exact"/>
              <w:ind w:right="101"/>
              <w:jc w:val="right"/>
              <w:rPr>
                <w:sz w:val="24"/>
              </w:rPr>
            </w:pPr>
            <w:r>
              <w:rPr>
                <w:sz w:val="24"/>
              </w:rPr>
              <w:t>$5.12</w:t>
            </w:r>
          </w:p>
        </w:tc>
        <w:tc>
          <w:tcPr>
            <w:tcW w:w="1296" w:type="dxa"/>
          </w:tcPr>
          <w:p w:rsidR="005A1910" w:rsidRDefault="005A1910" w:rsidP="003E2CED">
            <w:pPr>
              <w:pStyle w:val="TableParagraph"/>
              <w:spacing w:line="268" w:lineRule="exact"/>
              <w:ind w:right="101"/>
              <w:jc w:val="right"/>
              <w:rPr>
                <w:sz w:val="24"/>
              </w:rPr>
            </w:pPr>
            <w:r>
              <w:rPr>
                <w:sz w:val="24"/>
              </w:rPr>
              <w:t>$5.12</w:t>
            </w:r>
          </w:p>
        </w:tc>
      </w:tr>
      <w:tr w:rsidR="005A1910" w:rsidTr="003E2CED">
        <w:trPr>
          <w:trHeight w:hRule="exact" w:val="286"/>
        </w:trPr>
        <w:tc>
          <w:tcPr>
            <w:tcW w:w="9624" w:type="dxa"/>
            <w:gridSpan w:val="6"/>
          </w:tcPr>
          <w:p w:rsidR="005A1910" w:rsidRDefault="005A1910" w:rsidP="003E2CED"/>
        </w:tc>
      </w:tr>
      <w:tr w:rsidR="005A1910" w:rsidTr="003E2CED">
        <w:trPr>
          <w:trHeight w:hRule="exact" w:val="288"/>
        </w:trPr>
        <w:tc>
          <w:tcPr>
            <w:tcW w:w="9624" w:type="dxa"/>
            <w:gridSpan w:val="6"/>
          </w:tcPr>
          <w:p w:rsidR="005A1910" w:rsidRDefault="005A1910" w:rsidP="003E2CED">
            <w:pPr>
              <w:pStyle w:val="TableParagraph"/>
              <w:spacing w:line="275" w:lineRule="exact"/>
              <w:ind w:left="103"/>
              <w:rPr>
                <w:b/>
                <w:sz w:val="24"/>
              </w:rPr>
            </w:pPr>
            <w:r>
              <w:rPr>
                <w:b/>
                <w:sz w:val="24"/>
              </w:rPr>
              <w:t>Group 2</w:t>
            </w:r>
          </w:p>
        </w:tc>
      </w:tr>
      <w:tr w:rsidR="005A1910" w:rsidTr="003E2CED">
        <w:trPr>
          <w:trHeight w:hRule="exact" w:val="286"/>
        </w:trPr>
        <w:tc>
          <w:tcPr>
            <w:tcW w:w="3144" w:type="dxa"/>
          </w:tcPr>
          <w:p w:rsidR="005A1910" w:rsidRDefault="005A1910" w:rsidP="003E2CED">
            <w:pPr>
              <w:pStyle w:val="TableParagraph"/>
              <w:spacing w:line="268" w:lineRule="exact"/>
              <w:ind w:left="103"/>
              <w:rPr>
                <w:sz w:val="24"/>
              </w:rPr>
            </w:pPr>
            <w:r>
              <w:rPr>
                <w:sz w:val="24"/>
              </w:rPr>
              <w:t>Baystate Medical Center</w:t>
            </w:r>
          </w:p>
        </w:tc>
        <w:tc>
          <w:tcPr>
            <w:tcW w:w="1296" w:type="dxa"/>
          </w:tcPr>
          <w:p w:rsidR="005A1910" w:rsidRDefault="005A1910" w:rsidP="003E2CED">
            <w:pPr>
              <w:pStyle w:val="TableParagraph"/>
              <w:spacing w:line="268" w:lineRule="exact"/>
              <w:ind w:right="101"/>
              <w:jc w:val="right"/>
              <w:rPr>
                <w:sz w:val="24"/>
              </w:rPr>
            </w:pPr>
            <w:r>
              <w:rPr>
                <w:sz w:val="24"/>
              </w:rPr>
              <w:t>$5.61</w:t>
            </w:r>
          </w:p>
        </w:tc>
        <w:tc>
          <w:tcPr>
            <w:tcW w:w="1296" w:type="dxa"/>
          </w:tcPr>
          <w:p w:rsidR="005A1910" w:rsidRDefault="005A1910" w:rsidP="003E2CED">
            <w:pPr>
              <w:pStyle w:val="TableParagraph"/>
              <w:spacing w:line="268" w:lineRule="exact"/>
              <w:ind w:right="101"/>
              <w:jc w:val="right"/>
              <w:rPr>
                <w:sz w:val="24"/>
              </w:rPr>
            </w:pPr>
            <w:r>
              <w:rPr>
                <w:sz w:val="24"/>
              </w:rPr>
              <w:t>$5.61</w:t>
            </w:r>
          </w:p>
        </w:tc>
        <w:tc>
          <w:tcPr>
            <w:tcW w:w="1296" w:type="dxa"/>
          </w:tcPr>
          <w:p w:rsidR="005A1910" w:rsidRDefault="005A1910" w:rsidP="003E2CED">
            <w:pPr>
              <w:pStyle w:val="TableParagraph"/>
              <w:spacing w:line="268" w:lineRule="exact"/>
              <w:ind w:right="101"/>
              <w:jc w:val="right"/>
              <w:rPr>
                <w:sz w:val="24"/>
              </w:rPr>
            </w:pPr>
            <w:r>
              <w:rPr>
                <w:sz w:val="24"/>
              </w:rPr>
              <w:t>$5.61</w:t>
            </w:r>
          </w:p>
        </w:tc>
        <w:tc>
          <w:tcPr>
            <w:tcW w:w="1296" w:type="dxa"/>
          </w:tcPr>
          <w:p w:rsidR="005A1910" w:rsidRDefault="005A1910" w:rsidP="003E2CED">
            <w:pPr>
              <w:pStyle w:val="TableParagraph"/>
              <w:spacing w:line="268" w:lineRule="exact"/>
              <w:ind w:right="101"/>
              <w:jc w:val="right"/>
              <w:rPr>
                <w:sz w:val="24"/>
              </w:rPr>
            </w:pPr>
            <w:r>
              <w:rPr>
                <w:sz w:val="24"/>
              </w:rPr>
              <w:t>$5.61</w:t>
            </w:r>
          </w:p>
        </w:tc>
        <w:tc>
          <w:tcPr>
            <w:tcW w:w="1296" w:type="dxa"/>
          </w:tcPr>
          <w:p w:rsidR="005A1910" w:rsidRDefault="005A1910" w:rsidP="003E2CED">
            <w:pPr>
              <w:pStyle w:val="TableParagraph"/>
              <w:spacing w:line="268" w:lineRule="exact"/>
              <w:ind w:right="101"/>
              <w:jc w:val="right"/>
              <w:rPr>
                <w:sz w:val="24"/>
              </w:rPr>
            </w:pPr>
            <w:r>
              <w:rPr>
                <w:sz w:val="24"/>
              </w:rPr>
              <w:t>$5.61</w:t>
            </w:r>
          </w:p>
        </w:tc>
      </w:tr>
      <w:tr w:rsidR="005A1910" w:rsidTr="003E2CED">
        <w:trPr>
          <w:trHeight w:hRule="exact" w:val="286"/>
        </w:trPr>
        <w:tc>
          <w:tcPr>
            <w:tcW w:w="3144" w:type="dxa"/>
          </w:tcPr>
          <w:p w:rsidR="005A1910" w:rsidRDefault="005A1910" w:rsidP="003E2CED">
            <w:pPr>
              <w:pStyle w:val="TableParagraph"/>
              <w:spacing w:line="268" w:lineRule="exact"/>
              <w:ind w:left="103"/>
              <w:rPr>
                <w:sz w:val="24"/>
              </w:rPr>
            </w:pPr>
            <w:r>
              <w:rPr>
                <w:sz w:val="24"/>
              </w:rPr>
              <w:t>North Shore Medical Center</w:t>
            </w:r>
          </w:p>
        </w:tc>
        <w:tc>
          <w:tcPr>
            <w:tcW w:w="1296" w:type="dxa"/>
          </w:tcPr>
          <w:p w:rsidR="005A1910" w:rsidRDefault="005A1910" w:rsidP="003E2CED">
            <w:pPr>
              <w:pStyle w:val="TableParagraph"/>
              <w:spacing w:line="268" w:lineRule="exact"/>
              <w:ind w:right="101"/>
              <w:jc w:val="right"/>
              <w:rPr>
                <w:sz w:val="24"/>
              </w:rPr>
            </w:pPr>
            <w:r>
              <w:rPr>
                <w:sz w:val="24"/>
              </w:rPr>
              <w:t>$3.37</w:t>
            </w:r>
          </w:p>
        </w:tc>
        <w:tc>
          <w:tcPr>
            <w:tcW w:w="1296" w:type="dxa"/>
          </w:tcPr>
          <w:p w:rsidR="005A1910" w:rsidRDefault="005A1910" w:rsidP="003E2CED">
            <w:pPr>
              <w:pStyle w:val="TableParagraph"/>
              <w:spacing w:line="268" w:lineRule="exact"/>
              <w:ind w:right="101"/>
              <w:jc w:val="right"/>
              <w:rPr>
                <w:sz w:val="24"/>
              </w:rPr>
            </w:pPr>
            <w:r>
              <w:rPr>
                <w:sz w:val="24"/>
              </w:rPr>
              <w:t>$3.37</w:t>
            </w:r>
          </w:p>
        </w:tc>
        <w:tc>
          <w:tcPr>
            <w:tcW w:w="1296" w:type="dxa"/>
          </w:tcPr>
          <w:p w:rsidR="005A1910" w:rsidRDefault="005A1910" w:rsidP="003E2CED">
            <w:pPr>
              <w:pStyle w:val="TableParagraph"/>
              <w:spacing w:line="268" w:lineRule="exact"/>
              <w:ind w:right="101"/>
              <w:jc w:val="right"/>
              <w:rPr>
                <w:sz w:val="24"/>
              </w:rPr>
            </w:pPr>
            <w:r>
              <w:rPr>
                <w:sz w:val="24"/>
              </w:rPr>
              <w:t>$3.37</w:t>
            </w:r>
          </w:p>
        </w:tc>
        <w:tc>
          <w:tcPr>
            <w:tcW w:w="1296" w:type="dxa"/>
          </w:tcPr>
          <w:p w:rsidR="005A1910" w:rsidRDefault="005A1910" w:rsidP="003E2CED">
            <w:pPr>
              <w:pStyle w:val="TableParagraph"/>
              <w:spacing w:line="268" w:lineRule="exact"/>
              <w:ind w:right="101"/>
              <w:jc w:val="right"/>
              <w:rPr>
                <w:sz w:val="24"/>
              </w:rPr>
            </w:pPr>
            <w:r>
              <w:rPr>
                <w:sz w:val="24"/>
              </w:rPr>
              <w:t>$3.37</w:t>
            </w:r>
          </w:p>
        </w:tc>
        <w:tc>
          <w:tcPr>
            <w:tcW w:w="1296" w:type="dxa"/>
          </w:tcPr>
          <w:p w:rsidR="005A1910" w:rsidRDefault="005A1910" w:rsidP="003E2CED">
            <w:pPr>
              <w:pStyle w:val="TableParagraph"/>
              <w:spacing w:line="268" w:lineRule="exact"/>
              <w:ind w:right="101"/>
              <w:jc w:val="right"/>
              <w:rPr>
                <w:sz w:val="24"/>
              </w:rPr>
            </w:pPr>
            <w:r>
              <w:rPr>
                <w:sz w:val="24"/>
              </w:rPr>
              <w:t>$3.37</w:t>
            </w:r>
          </w:p>
        </w:tc>
      </w:tr>
      <w:tr w:rsidR="005A1910" w:rsidTr="003E2CED">
        <w:trPr>
          <w:trHeight w:hRule="exact" w:val="286"/>
        </w:trPr>
        <w:tc>
          <w:tcPr>
            <w:tcW w:w="3144" w:type="dxa"/>
          </w:tcPr>
          <w:p w:rsidR="005A1910" w:rsidRDefault="005A1910" w:rsidP="003E2CED">
            <w:pPr>
              <w:pStyle w:val="TableParagraph"/>
              <w:spacing w:line="268" w:lineRule="exact"/>
              <w:ind w:left="103"/>
              <w:rPr>
                <w:sz w:val="24"/>
              </w:rPr>
            </w:pPr>
            <w:r>
              <w:rPr>
                <w:sz w:val="24"/>
              </w:rPr>
              <w:t>Southcoast Hospital Group</w:t>
            </w:r>
          </w:p>
        </w:tc>
        <w:tc>
          <w:tcPr>
            <w:tcW w:w="1296" w:type="dxa"/>
          </w:tcPr>
          <w:p w:rsidR="005A1910" w:rsidRDefault="005A1910" w:rsidP="003E2CED">
            <w:pPr>
              <w:pStyle w:val="TableParagraph"/>
              <w:spacing w:line="268" w:lineRule="exact"/>
              <w:ind w:right="101"/>
              <w:jc w:val="right"/>
              <w:rPr>
                <w:sz w:val="24"/>
              </w:rPr>
            </w:pPr>
            <w:r>
              <w:rPr>
                <w:sz w:val="24"/>
              </w:rPr>
              <w:t>$4.07</w:t>
            </w:r>
          </w:p>
        </w:tc>
        <w:tc>
          <w:tcPr>
            <w:tcW w:w="1296" w:type="dxa"/>
          </w:tcPr>
          <w:p w:rsidR="005A1910" w:rsidRDefault="005A1910" w:rsidP="003E2CED">
            <w:pPr>
              <w:pStyle w:val="TableParagraph"/>
              <w:spacing w:line="268" w:lineRule="exact"/>
              <w:ind w:right="101"/>
              <w:jc w:val="right"/>
              <w:rPr>
                <w:sz w:val="24"/>
              </w:rPr>
            </w:pPr>
            <w:r>
              <w:rPr>
                <w:sz w:val="24"/>
              </w:rPr>
              <w:t>$4.07</w:t>
            </w:r>
          </w:p>
        </w:tc>
        <w:tc>
          <w:tcPr>
            <w:tcW w:w="1296" w:type="dxa"/>
          </w:tcPr>
          <w:p w:rsidR="005A1910" w:rsidRDefault="005A1910" w:rsidP="003E2CED">
            <w:pPr>
              <w:pStyle w:val="TableParagraph"/>
              <w:spacing w:line="268" w:lineRule="exact"/>
              <w:ind w:right="101"/>
              <w:jc w:val="right"/>
              <w:rPr>
                <w:sz w:val="24"/>
              </w:rPr>
            </w:pPr>
            <w:r>
              <w:rPr>
                <w:sz w:val="24"/>
              </w:rPr>
              <w:t>$4.07</w:t>
            </w:r>
          </w:p>
        </w:tc>
        <w:tc>
          <w:tcPr>
            <w:tcW w:w="1296" w:type="dxa"/>
          </w:tcPr>
          <w:p w:rsidR="005A1910" w:rsidRDefault="005A1910" w:rsidP="003E2CED">
            <w:pPr>
              <w:pStyle w:val="TableParagraph"/>
              <w:spacing w:line="268" w:lineRule="exact"/>
              <w:ind w:right="101"/>
              <w:jc w:val="right"/>
              <w:rPr>
                <w:sz w:val="24"/>
              </w:rPr>
            </w:pPr>
            <w:r>
              <w:rPr>
                <w:sz w:val="24"/>
              </w:rPr>
              <w:t>$4.07</w:t>
            </w:r>
          </w:p>
        </w:tc>
        <w:tc>
          <w:tcPr>
            <w:tcW w:w="1296" w:type="dxa"/>
          </w:tcPr>
          <w:p w:rsidR="005A1910" w:rsidRDefault="005A1910" w:rsidP="003E2CED">
            <w:pPr>
              <w:pStyle w:val="TableParagraph"/>
              <w:spacing w:line="268" w:lineRule="exact"/>
              <w:ind w:right="101"/>
              <w:jc w:val="right"/>
              <w:rPr>
                <w:sz w:val="24"/>
              </w:rPr>
            </w:pPr>
            <w:r>
              <w:rPr>
                <w:sz w:val="24"/>
              </w:rPr>
              <w:t>$4.07</w:t>
            </w:r>
          </w:p>
        </w:tc>
      </w:tr>
      <w:tr w:rsidR="005A1910" w:rsidTr="003E2CED">
        <w:trPr>
          <w:trHeight w:hRule="exact" w:val="286"/>
        </w:trPr>
        <w:tc>
          <w:tcPr>
            <w:tcW w:w="3144" w:type="dxa"/>
          </w:tcPr>
          <w:p w:rsidR="005A1910" w:rsidRDefault="005A1910" w:rsidP="003E2CED">
            <w:pPr>
              <w:pStyle w:val="TableParagraph"/>
              <w:spacing w:line="268" w:lineRule="exact"/>
              <w:ind w:left="103"/>
              <w:rPr>
                <w:sz w:val="24"/>
              </w:rPr>
            </w:pPr>
            <w:r>
              <w:rPr>
                <w:sz w:val="24"/>
              </w:rPr>
              <w:t>Tufts Medical Center</w:t>
            </w:r>
          </w:p>
        </w:tc>
        <w:tc>
          <w:tcPr>
            <w:tcW w:w="1296" w:type="dxa"/>
          </w:tcPr>
          <w:p w:rsidR="005A1910" w:rsidRDefault="005A1910" w:rsidP="003E2CED">
            <w:pPr>
              <w:pStyle w:val="TableParagraph"/>
              <w:spacing w:line="268" w:lineRule="exact"/>
              <w:ind w:right="101"/>
              <w:jc w:val="right"/>
              <w:rPr>
                <w:sz w:val="24"/>
              </w:rPr>
            </w:pPr>
            <w:r>
              <w:rPr>
                <w:sz w:val="24"/>
              </w:rPr>
              <w:t>$3.40</w:t>
            </w:r>
          </w:p>
        </w:tc>
        <w:tc>
          <w:tcPr>
            <w:tcW w:w="1296" w:type="dxa"/>
          </w:tcPr>
          <w:p w:rsidR="005A1910" w:rsidRDefault="005A1910" w:rsidP="003E2CED">
            <w:pPr>
              <w:pStyle w:val="TableParagraph"/>
              <w:spacing w:line="268" w:lineRule="exact"/>
              <w:ind w:right="101"/>
              <w:jc w:val="right"/>
              <w:rPr>
                <w:sz w:val="24"/>
              </w:rPr>
            </w:pPr>
            <w:r>
              <w:rPr>
                <w:sz w:val="24"/>
              </w:rPr>
              <w:t>$3.40</w:t>
            </w:r>
          </w:p>
        </w:tc>
        <w:tc>
          <w:tcPr>
            <w:tcW w:w="1296" w:type="dxa"/>
          </w:tcPr>
          <w:p w:rsidR="005A1910" w:rsidRDefault="005A1910" w:rsidP="003E2CED">
            <w:pPr>
              <w:pStyle w:val="TableParagraph"/>
              <w:spacing w:line="268" w:lineRule="exact"/>
              <w:ind w:right="101"/>
              <w:jc w:val="right"/>
              <w:rPr>
                <w:sz w:val="24"/>
              </w:rPr>
            </w:pPr>
            <w:r>
              <w:rPr>
                <w:sz w:val="24"/>
              </w:rPr>
              <w:t>$3.40</w:t>
            </w:r>
          </w:p>
        </w:tc>
        <w:tc>
          <w:tcPr>
            <w:tcW w:w="1296" w:type="dxa"/>
          </w:tcPr>
          <w:p w:rsidR="005A1910" w:rsidRDefault="005A1910" w:rsidP="003E2CED">
            <w:pPr>
              <w:pStyle w:val="TableParagraph"/>
              <w:spacing w:line="268" w:lineRule="exact"/>
              <w:ind w:right="101"/>
              <w:jc w:val="right"/>
              <w:rPr>
                <w:sz w:val="24"/>
              </w:rPr>
            </w:pPr>
            <w:r>
              <w:rPr>
                <w:sz w:val="24"/>
              </w:rPr>
              <w:t>$3.40</w:t>
            </w:r>
          </w:p>
        </w:tc>
        <w:tc>
          <w:tcPr>
            <w:tcW w:w="1296" w:type="dxa"/>
          </w:tcPr>
          <w:p w:rsidR="005A1910" w:rsidRDefault="005A1910" w:rsidP="003E2CED">
            <w:pPr>
              <w:pStyle w:val="TableParagraph"/>
              <w:spacing w:line="268" w:lineRule="exact"/>
              <w:ind w:right="101"/>
              <w:jc w:val="right"/>
              <w:rPr>
                <w:sz w:val="24"/>
              </w:rPr>
            </w:pPr>
            <w:r>
              <w:rPr>
                <w:sz w:val="24"/>
              </w:rPr>
              <w:t>$3.40</w:t>
            </w:r>
          </w:p>
        </w:tc>
      </w:tr>
      <w:tr w:rsidR="005A1910" w:rsidTr="003E2CED">
        <w:trPr>
          <w:trHeight w:hRule="exact" w:val="286"/>
        </w:trPr>
        <w:tc>
          <w:tcPr>
            <w:tcW w:w="3144" w:type="dxa"/>
          </w:tcPr>
          <w:p w:rsidR="005A1910" w:rsidRDefault="005A1910" w:rsidP="003E2CED">
            <w:pPr>
              <w:pStyle w:val="TableParagraph"/>
              <w:spacing w:line="268" w:lineRule="exact"/>
              <w:ind w:left="103"/>
              <w:rPr>
                <w:sz w:val="24"/>
              </w:rPr>
            </w:pPr>
            <w:r>
              <w:rPr>
                <w:sz w:val="24"/>
              </w:rPr>
              <w:t>Morton Hospital</w:t>
            </w:r>
          </w:p>
        </w:tc>
        <w:tc>
          <w:tcPr>
            <w:tcW w:w="1296" w:type="dxa"/>
          </w:tcPr>
          <w:p w:rsidR="005A1910" w:rsidRDefault="005A1910" w:rsidP="003E2CED">
            <w:pPr>
              <w:pStyle w:val="TableParagraph"/>
              <w:spacing w:line="268" w:lineRule="exact"/>
              <w:ind w:right="101"/>
              <w:jc w:val="right"/>
              <w:rPr>
                <w:sz w:val="24"/>
              </w:rPr>
            </w:pPr>
            <w:r>
              <w:rPr>
                <w:sz w:val="24"/>
              </w:rPr>
              <w:t>$0.50</w:t>
            </w:r>
          </w:p>
        </w:tc>
        <w:tc>
          <w:tcPr>
            <w:tcW w:w="1296" w:type="dxa"/>
          </w:tcPr>
          <w:p w:rsidR="005A1910" w:rsidRDefault="005A1910" w:rsidP="003E2CED">
            <w:pPr>
              <w:pStyle w:val="TableParagraph"/>
              <w:spacing w:line="268" w:lineRule="exact"/>
              <w:ind w:right="101"/>
              <w:jc w:val="right"/>
              <w:rPr>
                <w:sz w:val="24"/>
              </w:rPr>
            </w:pPr>
            <w:r>
              <w:rPr>
                <w:sz w:val="24"/>
              </w:rPr>
              <w:t>$0.50</w:t>
            </w:r>
          </w:p>
        </w:tc>
        <w:tc>
          <w:tcPr>
            <w:tcW w:w="1296" w:type="dxa"/>
          </w:tcPr>
          <w:p w:rsidR="005A1910" w:rsidRDefault="005A1910" w:rsidP="003E2CED">
            <w:pPr>
              <w:pStyle w:val="TableParagraph"/>
              <w:spacing w:line="268" w:lineRule="exact"/>
              <w:ind w:right="101"/>
              <w:jc w:val="right"/>
              <w:rPr>
                <w:sz w:val="24"/>
              </w:rPr>
            </w:pPr>
            <w:r>
              <w:rPr>
                <w:sz w:val="24"/>
              </w:rPr>
              <w:t>$0.50</w:t>
            </w:r>
          </w:p>
        </w:tc>
        <w:tc>
          <w:tcPr>
            <w:tcW w:w="1296" w:type="dxa"/>
          </w:tcPr>
          <w:p w:rsidR="005A1910" w:rsidRDefault="005A1910" w:rsidP="003E2CED">
            <w:pPr>
              <w:pStyle w:val="TableParagraph"/>
              <w:spacing w:line="268" w:lineRule="exact"/>
              <w:ind w:right="101"/>
              <w:jc w:val="right"/>
              <w:rPr>
                <w:sz w:val="24"/>
              </w:rPr>
            </w:pPr>
            <w:r>
              <w:rPr>
                <w:sz w:val="24"/>
              </w:rPr>
              <w:t>$0.50</w:t>
            </w:r>
          </w:p>
        </w:tc>
        <w:tc>
          <w:tcPr>
            <w:tcW w:w="1296" w:type="dxa"/>
          </w:tcPr>
          <w:p w:rsidR="005A1910" w:rsidRDefault="005A1910" w:rsidP="003E2CED">
            <w:pPr>
              <w:pStyle w:val="TableParagraph"/>
              <w:spacing w:line="268" w:lineRule="exact"/>
              <w:ind w:right="101"/>
              <w:jc w:val="right"/>
              <w:rPr>
                <w:sz w:val="24"/>
              </w:rPr>
            </w:pPr>
            <w:r>
              <w:rPr>
                <w:sz w:val="24"/>
              </w:rPr>
              <w:t>$0.50</w:t>
            </w:r>
          </w:p>
        </w:tc>
      </w:tr>
      <w:tr w:rsidR="005A1910" w:rsidTr="003E2CED">
        <w:trPr>
          <w:trHeight w:hRule="exact" w:val="286"/>
        </w:trPr>
        <w:tc>
          <w:tcPr>
            <w:tcW w:w="3144" w:type="dxa"/>
          </w:tcPr>
          <w:p w:rsidR="005A1910" w:rsidRDefault="005A1910" w:rsidP="003E2CED">
            <w:pPr>
              <w:pStyle w:val="TableParagraph"/>
              <w:spacing w:line="268" w:lineRule="exact"/>
              <w:ind w:left="103"/>
              <w:rPr>
                <w:sz w:val="24"/>
              </w:rPr>
            </w:pPr>
            <w:r>
              <w:rPr>
                <w:sz w:val="24"/>
              </w:rPr>
              <w:t>Franklin Medical Center</w:t>
            </w:r>
          </w:p>
        </w:tc>
        <w:tc>
          <w:tcPr>
            <w:tcW w:w="1296" w:type="dxa"/>
          </w:tcPr>
          <w:p w:rsidR="005A1910" w:rsidRDefault="005A1910" w:rsidP="003E2CED">
            <w:pPr>
              <w:pStyle w:val="TableParagraph"/>
              <w:spacing w:line="268" w:lineRule="exact"/>
              <w:ind w:right="101"/>
              <w:jc w:val="right"/>
              <w:rPr>
                <w:sz w:val="24"/>
              </w:rPr>
            </w:pPr>
            <w:r>
              <w:rPr>
                <w:sz w:val="24"/>
              </w:rPr>
              <w:t>$0.47</w:t>
            </w:r>
          </w:p>
        </w:tc>
        <w:tc>
          <w:tcPr>
            <w:tcW w:w="1296" w:type="dxa"/>
          </w:tcPr>
          <w:p w:rsidR="005A1910" w:rsidRDefault="005A1910" w:rsidP="003E2CED">
            <w:pPr>
              <w:pStyle w:val="TableParagraph"/>
              <w:spacing w:line="268" w:lineRule="exact"/>
              <w:ind w:right="101"/>
              <w:jc w:val="right"/>
              <w:rPr>
                <w:sz w:val="24"/>
              </w:rPr>
            </w:pPr>
            <w:r>
              <w:rPr>
                <w:sz w:val="24"/>
              </w:rPr>
              <w:t>$0.47</w:t>
            </w:r>
          </w:p>
        </w:tc>
        <w:tc>
          <w:tcPr>
            <w:tcW w:w="1296" w:type="dxa"/>
          </w:tcPr>
          <w:p w:rsidR="005A1910" w:rsidRDefault="005A1910" w:rsidP="003E2CED">
            <w:pPr>
              <w:pStyle w:val="TableParagraph"/>
              <w:spacing w:line="268" w:lineRule="exact"/>
              <w:ind w:right="101"/>
              <w:jc w:val="right"/>
              <w:rPr>
                <w:sz w:val="24"/>
              </w:rPr>
            </w:pPr>
            <w:r>
              <w:rPr>
                <w:sz w:val="24"/>
              </w:rPr>
              <w:t>$0.47</w:t>
            </w:r>
          </w:p>
        </w:tc>
        <w:tc>
          <w:tcPr>
            <w:tcW w:w="1296" w:type="dxa"/>
          </w:tcPr>
          <w:p w:rsidR="005A1910" w:rsidRDefault="005A1910" w:rsidP="003E2CED">
            <w:pPr>
              <w:pStyle w:val="TableParagraph"/>
              <w:spacing w:line="268" w:lineRule="exact"/>
              <w:ind w:right="101"/>
              <w:jc w:val="right"/>
              <w:rPr>
                <w:sz w:val="24"/>
              </w:rPr>
            </w:pPr>
            <w:r>
              <w:rPr>
                <w:sz w:val="24"/>
              </w:rPr>
              <w:t>$0.47</w:t>
            </w:r>
          </w:p>
        </w:tc>
        <w:tc>
          <w:tcPr>
            <w:tcW w:w="1296" w:type="dxa"/>
          </w:tcPr>
          <w:p w:rsidR="005A1910" w:rsidRDefault="005A1910" w:rsidP="003E2CED">
            <w:pPr>
              <w:pStyle w:val="TableParagraph"/>
              <w:spacing w:line="268" w:lineRule="exact"/>
              <w:ind w:right="101"/>
              <w:jc w:val="right"/>
              <w:rPr>
                <w:sz w:val="24"/>
              </w:rPr>
            </w:pPr>
            <w:r>
              <w:rPr>
                <w:sz w:val="24"/>
              </w:rPr>
              <w:t>$0.47</w:t>
            </w:r>
          </w:p>
        </w:tc>
      </w:tr>
      <w:tr w:rsidR="005A1910" w:rsidTr="003E2CED">
        <w:trPr>
          <w:trHeight w:hRule="exact" w:val="288"/>
        </w:trPr>
        <w:tc>
          <w:tcPr>
            <w:tcW w:w="3144" w:type="dxa"/>
          </w:tcPr>
          <w:p w:rsidR="005A1910" w:rsidRDefault="005A1910" w:rsidP="003E2CED">
            <w:pPr>
              <w:pStyle w:val="TableParagraph"/>
              <w:spacing w:line="270" w:lineRule="exact"/>
              <w:ind w:left="103"/>
              <w:rPr>
                <w:sz w:val="24"/>
              </w:rPr>
            </w:pPr>
            <w:r>
              <w:rPr>
                <w:sz w:val="24"/>
              </w:rPr>
              <w:t>Berkshire Medical Center</w:t>
            </w:r>
          </w:p>
        </w:tc>
        <w:tc>
          <w:tcPr>
            <w:tcW w:w="1296" w:type="dxa"/>
          </w:tcPr>
          <w:p w:rsidR="005A1910" w:rsidRDefault="005A1910" w:rsidP="003E2CED">
            <w:pPr>
              <w:pStyle w:val="TableParagraph"/>
              <w:spacing w:line="270" w:lineRule="exact"/>
              <w:ind w:right="101"/>
              <w:jc w:val="right"/>
              <w:rPr>
                <w:sz w:val="24"/>
              </w:rPr>
            </w:pPr>
            <w:r>
              <w:rPr>
                <w:sz w:val="24"/>
              </w:rPr>
              <w:t>$1.63</w:t>
            </w:r>
          </w:p>
        </w:tc>
        <w:tc>
          <w:tcPr>
            <w:tcW w:w="1296" w:type="dxa"/>
          </w:tcPr>
          <w:p w:rsidR="005A1910" w:rsidRDefault="005A1910" w:rsidP="003E2CED">
            <w:pPr>
              <w:pStyle w:val="TableParagraph"/>
              <w:spacing w:line="270" w:lineRule="exact"/>
              <w:ind w:right="101"/>
              <w:jc w:val="right"/>
              <w:rPr>
                <w:sz w:val="24"/>
              </w:rPr>
            </w:pPr>
            <w:r>
              <w:rPr>
                <w:sz w:val="24"/>
              </w:rPr>
              <w:t>$1.63</w:t>
            </w:r>
          </w:p>
        </w:tc>
        <w:tc>
          <w:tcPr>
            <w:tcW w:w="1296" w:type="dxa"/>
          </w:tcPr>
          <w:p w:rsidR="005A1910" w:rsidRDefault="005A1910" w:rsidP="003E2CED">
            <w:pPr>
              <w:pStyle w:val="TableParagraph"/>
              <w:spacing w:line="270" w:lineRule="exact"/>
              <w:ind w:right="101"/>
              <w:jc w:val="right"/>
              <w:rPr>
                <w:sz w:val="24"/>
              </w:rPr>
            </w:pPr>
            <w:r>
              <w:rPr>
                <w:sz w:val="24"/>
              </w:rPr>
              <w:t>$1.63</w:t>
            </w:r>
          </w:p>
        </w:tc>
        <w:tc>
          <w:tcPr>
            <w:tcW w:w="1296" w:type="dxa"/>
          </w:tcPr>
          <w:p w:rsidR="005A1910" w:rsidRDefault="005A1910" w:rsidP="003E2CED">
            <w:pPr>
              <w:pStyle w:val="TableParagraph"/>
              <w:spacing w:line="270" w:lineRule="exact"/>
              <w:ind w:right="101"/>
              <w:jc w:val="right"/>
              <w:rPr>
                <w:sz w:val="24"/>
              </w:rPr>
            </w:pPr>
            <w:r>
              <w:rPr>
                <w:sz w:val="24"/>
              </w:rPr>
              <w:t>$1.63</w:t>
            </w:r>
          </w:p>
        </w:tc>
        <w:tc>
          <w:tcPr>
            <w:tcW w:w="1296" w:type="dxa"/>
          </w:tcPr>
          <w:p w:rsidR="005A1910" w:rsidRDefault="005A1910" w:rsidP="003E2CED">
            <w:pPr>
              <w:pStyle w:val="TableParagraph"/>
              <w:spacing w:line="270" w:lineRule="exact"/>
              <w:ind w:right="101"/>
              <w:jc w:val="right"/>
              <w:rPr>
                <w:sz w:val="24"/>
              </w:rPr>
            </w:pPr>
            <w:r>
              <w:rPr>
                <w:sz w:val="24"/>
              </w:rPr>
              <w:t>$1.63</w:t>
            </w:r>
          </w:p>
        </w:tc>
      </w:tr>
      <w:tr w:rsidR="005A1910" w:rsidTr="003E2CED">
        <w:trPr>
          <w:trHeight w:hRule="exact" w:val="286"/>
        </w:trPr>
        <w:tc>
          <w:tcPr>
            <w:tcW w:w="3144" w:type="dxa"/>
          </w:tcPr>
          <w:p w:rsidR="005A1910" w:rsidRDefault="005A1910" w:rsidP="003E2CED">
            <w:pPr>
              <w:pStyle w:val="TableParagraph"/>
              <w:spacing w:line="268" w:lineRule="exact"/>
              <w:ind w:left="103"/>
              <w:rPr>
                <w:sz w:val="24"/>
              </w:rPr>
            </w:pPr>
            <w:r>
              <w:rPr>
                <w:sz w:val="24"/>
              </w:rPr>
              <w:t>Good Samaritan Hospital</w:t>
            </w:r>
          </w:p>
        </w:tc>
        <w:tc>
          <w:tcPr>
            <w:tcW w:w="1296" w:type="dxa"/>
          </w:tcPr>
          <w:p w:rsidR="005A1910" w:rsidRDefault="005A1910" w:rsidP="003E2CED">
            <w:pPr>
              <w:pStyle w:val="TableParagraph"/>
              <w:spacing w:line="268" w:lineRule="exact"/>
              <w:ind w:right="101"/>
              <w:jc w:val="right"/>
              <w:rPr>
                <w:sz w:val="24"/>
              </w:rPr>
            </w:pPr>
            <w:r>
              <w:rPr>
                <w:sz w:val="24"/>
              </w:rPr>
              <w:t>$0.95</w:t>
            </w:r>
          </w:p>
        </w:tc>
        <w:tc>
          <w:tcPr>
            <w:tcW w:w="1296" w:type="dxa"/>
          </w:tcPr>
          <w:p w:rsidR="005A1910" w:rsidRDefault="005A1910" w:rsidP="003E2CED">
            <w:pPr>
              <w:pStyle w:val="TableParagraph"/>
              <w:spacing w:line="268" w:lineRule="exact"/>
              <w:ind w:right="101"/>
              <w:jc w:val="right"/>
              <w:rPr>
                <w:sz w:val="24"/>
              </w:rPr>
            </w:pPr>
            <w:r>
              <w:rPr>
                <w:sz w:val="24"/>
              </w:rPr>
              <w:t>$0.95</w:t>
            </w:r>
          </w:p>
        </w:tc>
        <w:tc>
          <w:tcPr>
            <w:tcW w:w="1296" w:type="dxa"/>
          </w:tcPr>
          <w:p w:rsidR="005A1910" w:rsidRDefault="005A1910" w:rsidP="003E2CED">
            <w:pPr>
              <w:pStyle w:val="TableParagraph"/>
              <w:spacing w:line="268" w:lineRule="exact"/>
              <w:ind w:right="101"/>
              <w:jc w:val="right"/>
              <w:rPr>
                <w:sz w:val="24"/>
              </w:rPr>
            </w:pPr>
            <w:r>
              <w:rPr>
                <w:sz w:val="24"/>
              </w:rPr>
              <w:t>$0.95</w:t>
            </w:r>
          </w:p>
        </w:tc>
        <w:tc>
          <w:tcPr>
            <w:tcW w:w="1296" w:type="dxa"/>
          </w:tcPr>
          <w:p w:rsidR="005A1910" w:rsidRDefault="005A1910" w:rsidP="003E2CED">
            <w:pPr>
              <w:pStyle w:val="TableParagraph"/>
              <w:spacing w:line="268" w:lineRule="exact"/>
              <w:ind w:right="101"/>
              <w:jc w:val="right"/>
              <w:rPr>
                <w:sz w:val="24"/>
              </w:rPr>
            </w:pPr>
            <w:r>
              <w:rPr>
                <w:sz w:val="24"/>
              </w:rPr>
              <w:t>$0.95</w:t>
            </w:r>
          </w:p>
        </w:tc>
        <w:tc>
          <w:tcPr>
            <w:tcW w:w="1296" w:type="dxa"/>
          </w:tcPr>
          <w:p w:rsidR="005A1910" w:rsidRDefault="005A1910" w:rsidP="003E2CED">
            <w:pPr>
              <w:pStyle w:val="TableParagraph"/>
              <w:spacing w:line="268" w:lineRule="exact"/>
              <w:ind w:right="101"/>
              <w:jc w:val="right"/>
              <w:rPr>
                <w:sz w:val="24"/>
              </w:rPr>
            </w:pPr>
            <w:r>
              <w:rPr>
                <w:sz w:val="24"/>
              </w:rPr>
              <w:t>$0.95</w:t>
            </w:r>
          </w:p>
        </w:tc>
      </w:tr>
    </w:tbl>
    <w:p w:rsidR="005A1910" w:rsidRDefault="005A1910" w:rsidP="005A1910">
      <w:pPr>
        <w:pStyle w:val="BodyText"/>
        <w:rPr>
          <w:b/>
          <w:sz w:val="26"/>
        </w:rPr>
      </w:pPr>
    </w:p>
    <w:p w:rsidR="005A1910" w:rsidRDefault="005A1910" w:rsidP="005A1910">
      <w:pPr>
        <w:pStyle w:val="BodyText"/>
        <w:spacing w:before="3"/>
        <w:rPr>
          <w:b/>
          <w:sz w:val="21"/>
        </w:rPr>
      </w:pPr>
    </w:p>
    <w:p w:rsidR="005A1910" w:rsidRDefault="005A1910" w:rsidP="005A1910">
      <w:pPr>
        <w:pStyle w:val="BodyText"/>
        <w:ind w:left="119" w:right="108"/>
      </w:pPr>
      <w:r>
        <w:t>In addition, note that for Boston Medical Center, the 72 percent Group 1 target payment amount for SFY 2022 takes into account SFY 2017 DSTI payment authority, plus $32 million in Public Service Hospital Safety Net Care payment authority that does not continue in the new demonstration extension period.</w:t>
      </w:r>
    </w:p>
    <w:p w:rsidR="009D4716" w:rsidRDefault="009D4716">
      <w:bookmarkStart w:id="0" w:name="_GoBack"/>
      <w:bookmarkEnd w:id="0"/>
    </w:p>
    <w:sectPr w:rsidR="009D47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AE" w:rsidRDefault="005A1910">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3717290</wp:posOffset>
              </wp:positionH>
              <wp:positionV relativeFrom="page">
                <wp:posOffset>9900920</wp:posOffset>
              </wp:positionV>
              <wp:extent cx="121920" cy="165735"/>
              <wp:effectExtent l="2540" t="4445"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5A1910">
                          <w:pPr>
                            <w:spacing w:line="245" w:lineRule="exact"/>
                            <w:ind w:left="40"/>
                            <w:rPr>
                              <w:rFonts w:ascii="Calibri"/>
                            </w:rPr>
                          </w:pPr>
                          <w:r>
                            <w:fldChar w:fldCharType="begin"/>
                          </w:r>
                          <w:r>
                            <w:rPr>
                              <w:rFonts w:ascii="Calibri"/>
                            </w:rPr>
                            <w:instrText xml:space="preserve"> PAGE </w:instrText>
                          </w:r>
                          <w:r>
                            <w:fldChar w:fldCharType="separate"/>
                          </w:r>
                          <w:r>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2.7pt;margin-top:779.6pt;width:9.6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nbZqQ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" filled="f" stroked="f">
              <v:textbox inset="0,0,0,0">
                <w:txbxContent>
                  <w:p w:rsidR="006A37AE" w:rsidRDefault="005A1910">
                    <w:pPr>
                      <w:spacing w:line="245" w:lineRule="exact"/>
                      <w:ind w:left="40"/>
                      <w:rPr>
                        <w:rFonts w:ascii="Calibri"/>
                      </w:rPr>
                    </w:pPr>
                    <w:r>
                      <w:fldChar w:fldCharType="begin"/>
                    </w:r>
                    <w:r>
                      <w:rPr>
                        <w:rFonts w:ascii="Calibri"/>
                      </w:rPr>
                      <w:instrText xml:space="preserve"> PAGE </w:instrText>
                    </w:r>
                    <w:r>
                      <w:fldChar w:fldCharType="separate"/>
                    </w:r>
                    <w:r>
                      <w:rPr>
                        <w:rFonts w:ascii="Calibri"/>
                        <w:noProof/>
                      </w:rPr>
                      <w:t>2</w:t>
                    </w:r>
                    <w:r>
                      <w:fldChar w:fldCharType="end"/>
                    </w:r>
                  </w:p>
                </w:txbxContent>
              </v:textbox>
              <w10:wrap anchorx="page" anchory="page"/>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522556"/>
    <w:multiLevelType w:val="hybridMultilevel"/>
    <w:tmpl w:val="0B005E1E"/>
    <w:lvl w:ilvl="0" w:tplc="16FAC108">
      <w:numFmt w:val="bullet"/>
      <w:lvlText w:val="*"/>
      <w:lvlJc w:val="left"/>
      <w:pPr>
        <w:ind w:left="315" w:hanging="180"/>
      </w:pPr>
      <w:rPr>
        <w:rFonts w:ascii="Times New Roman" w:eastAsia="Times New Roman" w:hAnsi="Times New Roman" w:cs="Times New Roman" w:hint="default"/>
        <w:spacing w:val="-15"/>
        <w:w w:val="99"/>
        <w:sz w:val="24"/>
        <w:szCs w:val="24"/>
      </w:rPr>
    </w:lvl>
    <w:lvl w:ilvl="1" w:tplc="C16A7F3A">
      <w:numFmt w:val="bullet"/>
      <w:lvlText w:val=""/>
      <w:lvlJc w:val="left"/>
      <w:pPr>
        <w:ind w:left="839" w:hanging="360"/>
      </w:pPr>
      <w:rPr>
        <w:rFonts w:ascii="Symbol" w:eastAsia="Symbol" w:hAnsi="Symbol" w:cs="Symbol" w:hint="default"/>
        <w:w w:val="100"/>
        <w:sz w:val="24"/>
        <w:szCs w:val="24"/>
      </w:rPr>
    </w:lvl>
    <w:lvl w:ilvl="2" w:tplc="72C20F1E">
      <w:numFmt w:val="bullet"/>
      <w:lvlText w:val="•"/>
      <w:lvlJc w:val="left"/>
      <w:pPr>
        <w:ind w:left="1862" w:hanging="360"/>
      </w:pPr>
      <w:rPr>
        <w:rFonts w:hint="default"/>
      </w:rPr>
    </w:lvl>
    <w:lvl w:ilvl="3" w:tplc="3BB4C53C">
      <w:numFmt w:val="bullet"/>
      <w:lvlText w:val="•"/>
      <w:lvlJc w:val="left"/>
      <w:pPr>
        <w:ind w:left="2884" w:hanging="360"/>
      </w:pPr>
      <w:rPr>
        <w:rFonts w:hint="default"/>
      </w:rPr>
    </w:lvl>
    <w:lvl w:ilvl="4" w:tplc="1D967F2C">
      <w:numFmt w:val="bullet"/>
      <w:lvlText w:val="•"/>
      <w:lvlJc w:val="left"/>
      <w:pPr>
        <w:ind w:left="3906" w:hanging="360"/>
      </w:pPr>
      <w:rPr>
        <w:rFonts w:hint="default"/>
      </w:rPr>
    </w:lvl>
    <w:lvl w:ilvl="5" w:tplc="24C641A8">
      <w:numFmt w:val="bullet"/>
      <w:lvlText w:val="•"/>
      <w:lvlJc w:val="left"/>
      <w:pPr>
        <w:ind w:left="4928" w:hanging="360"/>
      </w:pPr>
      <w:rPr>
        <w:rFonts w:hint="default"/>
      </w:rPr>
    </w:lvl>
    <w:lvl w:ilvl="6" w:tplc="2E48FE5E">
      <w:numFmt w:val="bullet"/>
      <w:lvlText w:val="•"/>
      <w:lvlJc w:val="left"/>
      <w:pPr>
        <w:ind w:left="5951" w:hanging="360"/>
      </w:pPr>
      <w:rPr>
        <w:rFonts w:hint="default"/>
      </w:rPr>
    </w:lvl>
    <w:lvl w:ilvl="7" w:tplc="EB56E56E">
      <w:numFmt w:val="bullet"/>
      <w:lvlText w:val="•"/>
      <w:lvlJc w:val="left"/>
      <w:pPr>
        <w:ind w:left="6973" w:hanging="360"/>
      </w:pPr>
      <w:rPr>
        <w:rFonts w:hint="default"/>
      </w:rPr>
    </w:lvl>
    <w:lvl w:ilvl="8" w:tplc="307E9ECA">
      <w:numFmt w:val="bullet"/>
      <w:lvlText w:val="•"/>
      <w:lvlJc w:val="left"/>
      <w:pPr>
        <w:ind w:left="7995"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910"/>
    <w:rsid w:val="005A1910"/>
    <w:rsid w:val="009D4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4903CE9-B01E-491D-95B7-37BEF0781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A1910"/>
    <w:pPr>
      <w:widowControl w:val="0"/>
      <w:autoSpaceDE w:val="0"/>
      <w:autoSpaceDN w:val="0"/>
      <w:spacing w:after="0"/>
    </w:pPr>
    <w:rPr>
      <w:rFonts w:ascii="Times New Roman" w:eastAsia="Times New Roman" w:hAnsi="Times New Roman" w:cs="Times New Roman"/>
    </w:rPr>
  </w:style>
  <w:style w:type="paragraph" w:styleId="Heading1">
    <w:name w:val="heading 1"/>
    <w:basedOn w:val="Normal"/>
    <w:link w:val="Heading1Char"/>
    <w:uiPriority w:val="1"/>
    <w:qFormat/>
    <w:rsid w:val="005A1910"/>
    <w:pPr>
      <w:ind w:left="203"/>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A1910"/>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5A1910"/>
    <w:rPr>
      <w:sz w:val="24"/>
      <w:szCs w:val="24"/>
    </w:rPr>
  </w:style>
  <w:style w:type="character" w:customStyle="1" w:styleId="BodyTextChar">
    <w:name w:val="Body Text Char"/>
    <w:basedOn w:val="DefaultParagraphFont"/>
    <w:link w:val="BodyText"/>
    <w:uiPriority w:val="1"/>
    <w:rsid w:val="005A1910"/>
    <w:rPr>
      <w:rFonts w:ascii="Times New Roman" w:eastAsia="Times New Roman" w:hAnsi="Times New Roman" w:cs="Times New Roman"/>
      <w:sz w:val="24"/>
      <w:szCs w:val="24"/>
    </w:rPr>
  </w:style>
  <w:style w:type="paragraph" w:styleId="ListParagraph">
    <w:name w:val="List Paragraph"/>
    <w:basedOn w:val="Normal"/>
    <w:uiPriority w:val="1"/>
    <w:qFormat/>
    <w:rsid w:val="005A1910"/>
    <w:pPr>
      <w:ind w:left="1533" w:hanging="360"/>
    </w:pPr>
  </w:style>
  <w:style w:type="paragraph" w:customStyle="1" w:styleId="TableParagraph">
    <w:name w:val="Table Paragraph"/>
    <w:basedOn w:val="Normal"/>
    <w:uiPriority w:val="1"/>
    <w:qFormat/>
    <w:rsid w:val="005A1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483</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 Greenfield</dc:creator>
  <cp:keywords/>
  <dc:description/>
  <cp:lastModifiedBy>Eli Greenfield</cp:lastModifiedBy>
  <cp:revision>1</cp:revision>
  <dcterms:created xsi:type="dcterms:W3CDTF">2018-01-25T12:59:00Z</dcterms:created>
  <dcterms:modified xsi:type="dcterms:W3CDTF">2018-01-25T13:00:00Z</dcterms:modified>
</cp:coreProperties>
</file>